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6174D0" w14:textId="47D1CBB9" w:rsidR="00EB2A55" w:rsidRDefault="00EB2A55" w:rsidP="00EB2A55">
      <w:pPr>
        <w:autoSpaceDE w:val="0"/>
        <w:autoSpaceDN w:val="0"/>
        <w:adjustRightInd w:val="0"/>
        <w:spacing w:line="276" w:lineRule="auto"/>
      </w:pPr>
    </w:p>
    <w:p w14:paraId="6B23EA7D" w14:textId="3FEEA3CD" w:rsidR="00C823E5" w:rsidRDefault="00C823E5" w:rsidP="00C823E5">
      <w:pPr>
        <w:tabs>
          <w:tab w:val="left" w:pos="723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Příloha č. </w:t>
      </w:r>
      <w:r w:rsidR="00455940">
        <w:rPr>
          <w:b/>
          <w:bCs/>
          <w:sz w:val="24"/>
          <w:szCs w:val="24"/>
        </w:rPr>
        <w:t>3</w:t>
      </w:r>
    </w:p>
    <w:p w14:paraId="5BE7B525" w14:textId="77777777" w:rsidR="00C823E5" w:rsidRDefault="00C823E5" w:rsidP="00C823E5">
      <w:pPr>
        <w:tabs>
          <w:tab w:val="left" w:pos="7230"/>
        </w:tabs>
        <w:jc w:val="both"/>
        <w:rPr>
          <w:b/>
          <w:bCs/>
          <w:sz w:val="24"/>
          <w:szCs w:val="24"/>
        </w:rPr>
      </w:pPr>
    </w:p>
    <w:p w14:paraId="631D3078" w14:textId="3355A5E4" w:rsidR="00C823E5" w:rsidRPr="00773331" w:rsidRDefault="00773331" w:rsidP="00C823E5">
      <w:pPr>
        <w:suppressAutoHyphens w:val="0"/>
        <w:spacing w:before="100" w:beforeAutospacing="1" w:after="100" w:afterAutospacing="1"/>
        <w:rPr>
          <w:b/>
          <w:bCs/>
          <w:color w:val="000000"/>
          <w:sz w:val="24"/>
          <w:szCs w:val="24"/>
          <w:lang w:eastAsia="cs-CZ"/>
        </w:rPr>
      </w:pPr>
      <w:r w:rsidRPr="00773331">
        <w:rPr>
          <w:b/>
          <w:bCs/>
          <w:color w:val="000000"/>
          <w:sz w:val="24"/>
          <w:szCs w:val="24"/>
          <w:lang w:eastAsia="cs-CZ"/>
        </w:rPr>
        <w:t>Specifikace předmětu nájmu</w:t>
      </w:r>
    </w:p>
    <w:p w14:paraId="24B887E7" w14:textId="380512D5" w:rsidR="003232F6" w:rsidRPr="00BD022E" w:rsidRDefault="00152744" w:rsidP="00773331">
      <w:pPr>
        <w:suppressAutoHyphens w:val="0"/>
        <w:spacing w:before="100" w:beforeAutospacing="1" w:after="100" w:afterAutospacing="1"/>
        <w:rPr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Prostory</w:t>
      </w:r>
      <w:r w:rsidR="00C014EF">
        <w:rPr>
          <w:color w:val="000000"/>
          <w:sz w:val="24"/>
          <w:szCs w:val="24"/>
          <w:lang w:eastAsia="cs-CZ"/>
        </w:rPr>
        <w:t xml:space="preserve"> k pronájmu</w:t>
      </w:r>
      <w:r>
        <w:rPr>
          <w:color w:val="000000"/>
          <w:sz w:val="24"/>
          <w:szCs w:val="24"/>
          <w:lang w:eastAsia="cs-CZ"/>
        </w:rPr>
        <w:t xml:space="preserve"> jsou součástí objektu Starého purkrabství, </w:t>
      </w:r>
      <w:r w:rsidR="00C014EF">
        <w:rPr>
          <w:color w:val="000000"/>
          <w:sz w:val="24"/>
          <w:szCs w:val="24"/>
          <w:lang w:eastAsia="cs-CZ"/>
        </w:rPr>
        <w:t>který je kulturní památkou</w:t>
      </w:r>
      <w:r w:rsidR="00D162AC">
        <w:rPr>
          <w:color w:val="000000"/>
          <w:sz w:val="24"/>
          <w:szCs w:val="24"/>
          <w:lang w:eastAsia="cs-CZ"/>
        </w:rPr>
        <w:t>, součást areálu Národní kulturní památky Vyšehrad</w:t>
      </w:r>
      <w:r w:rsidR="00C014EF">
        <w:rPr>
          <w:color w:val="000000"/>
          <w:sz w:val="24"/>
          <w:szCs w:val="24"/>
          <w:lang w:eastAsia="cs-CZ"/>
        </w:rPr>
        <w:t>. Jedná se o jednu z palácových staveb, která byla postavena v jihozápadním rohu knížecí a královské akropole v druhé polovině 14. století</w:t>
      </w:r>
      <w:r w:rsidR="00FD4D8D">
        <w:rPr>
          <w:color w:val="000000"/>
          <w:sz w:val="24"/>
          <w:szCs w:val="24"/>
          <w:lang w:eastAsia="cs-CZ"/>
        </w:rPr>
        <w:t xml:space="preserve"> a do dnešní barokní podoby upravena v 18. století. </w:t>
      </w:r>
      <w:r w:rsidR="003232F6">
        <w:rPr>
          <w:color w:val="000000"/>
          <w:sz w:val="24"/>
          <w:szCs w:val="24"/>
          <w:lang w:eastAsia="cs-CZ"/>
        </w:rPr>
        <w:t>V letech 2003-2005 prošel objekt kompletní rekonstrukcí, v </w:t>
      </w:r>
      <w:r w:rsidR="0063475E">
        <w:rPr>
          <w:color w:val="000000"/>
          <w:sz w:val="24"/>
          <w:szCs w:val="24"/>
          <w:lang w:eastAsia="cs-CZ"/>
        </w:rPr>
        <w:t>rámci,</w:t>
      </w:r>
      <w:r w:rsidR="003232F6">
        <w:rPr>
          <w:color w:val="000000"/>
          <w:sz w:val="24"/>
          <w:szCs w:val="24"/>
          <w:lang w:eastAsia="cs-CZ"/>
        </w:rPr>
        <w:t xml:space="preserve"> které zde </w:t>
      </w:r>
      <w:r w:rsidR="00C014EF" w:rsidRPr="00C014EF">
        <w:rPr>
          <w:color w:val="000000"/>
          <w:sz w:val="24"/>
          <w:szCs w:val="24"/>
          <w:lang w:eastAsia="cs-CZ"/>
        </w:rPr>
        <w:t xml:space="preserve">vznikl </w:t>
      </w:r>
      <w:r w:rsidR="001F4159">
        <w:rPr>
          <w:color w:val="000000"/>
          <w:sz w:val="24"/>
          <w:szCs w:val="24"/>
          <w:lang w:eastAsia="cs-CZ"/>
        </w:rPr>
        <w:t xml:space="preserve">víceúčelový </w:t>
      </w:r>
      <w:r w:rsidR="00C014EF" w:rsidRPr="00C014EF">
        <w:rPr>
          <w:color w:val="000000"/>
          <w:sz w:val="24"/>
          <w:szCs w:val="24"/>
          <w:lang w:eastAsia="cs-CZ"/>
        </w:rPr>
        <w:t>sál pro 80 diváků a kavárna.</w:t>
      </w:r>
      <w:r w:rsidR="001F4159">
        <w:rPr>
          <w:color w:val="000000"/>
          <w:sz w:val="24"/>
          <w:szCs w:val="24"/>
          <w:lang w:eastAsia="cs-CZ"/>
        </w:rPr>
        <w:t xml:space="preserve"> Objekt byl zároveň rozšířen o </w:t>
      </w:r>
      <w:r w:rsidR="003232F6">
        <w:rPr>
          <w:color w:val="000000"/>
          <w:sz w:val="24"/>
          <w:szCs w:val="24"/>
          <w:lang w:eastAsia="cs-CZ"/>
        </w:rPr>
        <w:t xml:space="preserve">zahloubenou </w:t>
      </w:r>
      <w:r w:rsidR="001F4159">
        <w:rPr>
          <w:color w:val="000000"/>
          <w:sz w:val="24"/>
          <w:szCs w:val="24"/>
          <w:lang w:eastAsia="cs-CZ"/>
        </w:rPr>
        <w:t>přístavbu</w:t>
      </w:r>
      <w:r w:rsidR="003232F6">
        <w:rPr>
          <w:color w:val="000000"/>
          <w:sz w:val="24"/>
          <w:szCs w:val="24"/>
          <w:lang w:eastAsia="cs-CZ"/>
        </w:rPr>
        <w:t xml:space="preserve"> směrem k rubové straně hradební zdi,</w:t>
      </w:r>
      <w:r w:rsidR="001F4159">
        <w:rPr>
          <w:color w:val="000000"/>
          <w:sz w:val="24"/>
          <w:szCs w:val="24"/>
          <w:lang w:eastAsia="cs-CZ"/>
        </w:rPr>
        <w:t xml:space="preserve"> která obsahuje </w:t>
      </w:r>
      <w:r w:rsidR="00D162AC">
        <w:rPr>
          <w:color w:val="000000"/>
          <w:sz w:val="24"/>
          <w:szCs w:val="24"/>
          <w:lang w:eastAsia="cs-CZ"/>
        </w:rPr>
        <w:t xml:space="preserve">foyer </w:t>
      </w:r>
      <w:r w:rsidR="00D162AC" w:rsidRPr="00BD022E">
        <w:rPr>
          <w:sz w:val="24"/>
          <w:szCs w:val="24"/>
          <w:lang w:eastAsia="cs-CZ"/>
        </w:rPr>
        <w:t>s veřejně přístupnými toaletami (vč. bezbariérové kabiny a úklidové komory), provozní zázemí kavárny, kanceláře úseku programu a propagace NKPV a</w:t>
      </w:r>
      <w:r w:rsidR="00F07157" w:rsidRPr="00BD022E">
        <w:rPr>
          <w:sz w:val="24"/>
          <w:szCs w:val="24"/>
          <w:lang w:eastAsia="cs-CZ"/>
        </w:rPr>
        <w:t xml:space="preserve"> </w:t>
      </w:r>
      <w:r w:rsidR="00D162AC" w:rsidRPr="00BD022E">
        <w:rPr>
          <w:sz w:val="24"/>
          <w:szCs w:val="24"/>
          <w:lang w:eastAsia="cs-CZ"/>
        </w:rPr>
        <w:t>technické zázemí sálu</w:t>
      </w:r>
      <w:r w:rsidR="00F07157" w:rsidRPr="00BD022E">
        <w:rPr>
          <w:sz w:val="24"/>
          <w:szCs w:val="24"/>
          <w:lang w:eastAsia="cs-CZ"/>
        </w:rPr>
        <w:t xml:space="preserve"> s</w:t>
      </w:r>
      <w:r w:rsidR="00D162AC" w:rsidRPr="00BD022E">
        <w:rPr>
          <w:sz w:val="24"/>
          <w:szCs w:val="24"/>
          <w:lang w:eastAsia="cs-CZ"/>
        </w:rPr>
        <w:t xml:space="preserve"> šatn</w:t>
      </w:r>
      <w:r w:rsidR="00F07157" w:rsidRPr="00BD022E">
        <w:rPr>
          <w:sz w:val="24"/>
          <w:szCs w:val="24"/>
          <w:lang w:eastAsia="cs-CZ"/>
        </w:rPr>
        <w:t>o</w:t>
      </w:r>
      <w:r w:rsidR="00D162AC" w:rsidRPr="00BD022E">
        <w:rPr>
          <w:sz w:val="24"/>
          <w:szCs w:val="24"/>
          <w:lang w:eastAsia="cs-CZ"/>
        </w:rPr>
        <w:t>u pro herce</w:t>
      </w:r>
      <w:r w:rsidR="00F07157" w:rsidRPr="00BD022E">
        <w:rPr>
          <w:sz w:val="24"/>
          <w:szCs w:val="24"/>
          <w:lang w:eastAsia="cs-CZ"/>
        </w:rPr>
        <w:t>.</w:t>
      </w:r>
      <w:r w:rsidR="001F4159" w:rsidRPr="00BD022E">
        <w:rPr>
          <w:sz w:val="24"/>
          <w:szCs w:val="24"/>
          <w:lang w:eastAsia="cs-CZ"/>
        </w:rPr>
        <w:t xml:space="preserve"> </w:t>
      </w:r>
    </w:p>
    <w:p w14:paraId="1CF81989" w14:textId="77777777" w:rsidR="00A80C63" w:rsidRPr="00BD022E" w:rsidRDefault="00F07157" w:rsidP="00773331">
      <w:pPr>
        <w:suppressAutoHyphens w:val="0"/>
        <w:spacing w:before="100" w:beforeAutospacing="1" w:after="100" w:afterAutospacing="1"/>
        <w:rPr>
          <w:sz w:val="24"/>
          <w:szCs w:val="24"/>
          <w:lang w:eastAsia="cs-CZ"/>
        </w:rPr>
      </w:pPr>
      <w:r w:rsidRPr="00BD022E">
        <w:rPr>
          <w:sz w:val="24"/>
          <w:szCs w:val="24"/>
          <w:lang w:eastAsia="cs-CZ"/>
        </w:rPr>
        <w:t>Prostor</w:t>
      </w:r>
      <w:r w:rsidR="001F4159" w:rsidRPr="00BD022E">
        <w:rPr>
          <w:sz w:val="24"/>
          <w:szCs w:val="24"/>
          <w:lang w:eastAsia="cs-CZ"/>
        </w:rPr>
        <w:t xml:space="preserve"> </w:t>
      </w:r>
      <w:r w:rsidRPr="00BD022E">
        <w:rPr>
          <w:sz w:val="24"/>
          <w:szCs w:val="24"/>
          <w:lang w:eastAsia="cs-CZ"/>
        </w:rPr>
        <w:t xml:space="preserve">občerstvení </w:t>
      </w:r>
      <w:r w:rsidR="001F4159" w:rsidRPr="00BD022E">
        <w:rPr>
          <w:sz w:val="24"/>
          <w:szCs w:val="24"/>
          <w:lang w:eastAsia="cs-CZ"/>
        </w:rPr>
        <w:t xml:space="preserve">je přístupný </w:t>
      </w:r>
      <w:r w:rsidR="006352BD" w:rsidRPr="00BD022E">
        <w:rPr>
          <w:sz w:val="24"/>
          <w:szCs w:val="24"/>
          <w:lang w:eastAsia="cs-CZ"/>
        </w:rPr>
        <w:t xml:space="preserve">samostatným </w:t>
      </w:r>
      <w:r w:rsidR="001F4159" w:rsidRPr="00BD022E">
        <w:rPr>
          <w:sz w:val="24"/>
          <w:szCs w:val="24"/>
          <w:lang w:eastAsia="cs-CZ"/>
        </w:rPr>
        <w:t>vchodem zvenku z prostoru předzahrádky</w:t>
      </w:r>
      <w:r w:rsidR="006352BD" w:rsidRPr="00BD022E">
        <w:rPr>
          <w:sz w:val="24"/>
          <w:szCs w:val="24"/>
          <w:lang w:eastAsia="cs-CZ"/>
        </w:rPr>
        <w:t xml:space="preserve"> </w:t>
      </w:r>
      <w:r w:rsidR="001F4159" w:rsidRPr="00BD022E">
        <w:rPr>
          <w:sz w:val="24"/>
          <w:szCs w:val="24"/>
          <w:lang w:eastAsia="cs-CZ"/>
        </w:rPr>
        <w:t xml:space="preserve">a dvěma vchody ze vstupní haly Starého purkrabství s pokladnou. Do prostoru kavárny ústí </w:t>
      </w:r>
      <w:r w:rsidR="00EB3C5F" w:rsidRPr="00BD022E">
        <w:rPr>
          <w:sz w:val="24"/>
          <w:szCs w:val="24"/>
          <w:lang w:eastAsia="cs-CZ"/>
        </w:rPr>
        <w:t xml:space="preserve">schodiště ze spojovací chodby, vedoucí </w:t>
      </w:r>
      <w:r w:rsidR="0071163C" w:rsidRPr="00BD022E">
        <w:rPr>
          <w:sz w:val="24"/>
          <w:szCs w:val="24"/>
          <w:lang w:eastAsia="cs-CZ"/>
        </w:rPr>
        <w:t xml:space="preserve">ze </w:t>
      </w:r>
      <w:r w:rsidR="00EB3C5F" w:rsidRPr="00BD022E">
        <w:rPr>
          <w:sz w:val="24"/>
          <w:szCs w:val="24"/>
          <w:lang w:eastAsia="cs-CZ"/>
        </w:rPr>
        <w:t>stálé expozice v Gotickém sklepu</w:t>
      </w:r>
      <w:r w:rsidR="00165A06" w:rsidRPr="00BD022E">
        <w:rPr>
          <w:sz w:val="24"/>
          <w:szCs w:val="24"/>
          <w:lang w:eastAsia="cs-CZ"/>
        </w:rPr>
        <w:t xml:space="preserve"> (dnes nevyužívané)</w:t>
      </w:r>
      <w:r w:rsidR="00EB3C5F" w:rsidRPr="00BD022E">
        <w:rPr>
          <w:sz w:val="24"/>
          <w:szCs w:val="24"/>
          <w:lang w:eastAsia="cs-CZ"/>
        </w:rPr>
        <w:t xml:space="preserve">. V prostoru kavárny je umístěn bar ve tvaru </w:t>
      </w:r>
      <w:r w:rsidR="006352BD" w:rsidRPr="00BD022E">
        <w:rPr>
          <w:sz w:val="24"/>
          <w:szCs w:val="24"/>
          <w:lang w:eastAsia="cs-CZ"/>
        </w:rPr>
        <w:t>lodní přídě se</w:t>
      </w:r>
      <w:r w:rsidR="00EB3C5F" w:rsidRPr="00BD022E">
        <w:rPr>
          <w:sz w:val="24"/>
          <w:szCs w:val="24"/>
          <w:lang w:eastAsia="cs-CZ"/>
        </w:rPr>
        <w:t xml:space="preserve"> zázemím. </w:t>
      </w:r>
      <w:r w:rsidR="00A80C63" w:rsidRPr="00BD022E">
        <w:rPr>
          <w:sz w:val="24"/>
          <w:szCs w:val="24"/>
          <w:lang w:eastAsia="cs-CZ"/>
        </w:rPr>
        <w:t>Provozní z</w:t>
      </w:r>
      <w:r w:rsidR="00EB3C5F" w:rsidRPr="00BD022E">
        <w:rPr>
          <w:sz w:val="24"/>
          <w:szCs w:val="24"/>
          <w:lang w:eastAsia="cs-CZ"/>
        </w:rPr>
        <w:t xml:space="preserve">ázemí </w:t>
      </w:r>
      <w:r w:rsidR="00A80C63" w:rsidRPr="00BD022E">
        <w:rPr>
          <w:sz w:val="24"/>
          <w:szCs w:val="24"/>
          <w:lang w:eastAsia="cs-CZ"/>
        </w:rPr>
        <w:t>občerstvení</w:t>
      </w:r>
      <w:r w:rsidR="00EB3C5F" w:rsidRPr="00BD022E">
        <w:rPr>
          <w:sz w:val="24"/>
          <w:szCs w:val="24"/>
          <w:lang w:eastAsia="cs-CZ"/>
        </w:rPr>
        <w:t xml:space="preserve">, </w:t>
      </w:r>
      <w:r w:rsidR="0071163C" w:rsidRPr="00BD022E">
        <w:rPr>
          <w:sz w:val="24"/>
          <w:szCs w:val="24"/>
          <w:lang w:eastAsia="cs-CZ"/>
        </w:rPr>
        <w:t xml:space="preserve">přípravna, </w:t>
      </w:r>
      <w:r w:rsidR="00EB3C5F" w:rsidRPr="00BD022E">
        <w:rPr>
          <w:sz w:val="24"/>
          <w:szCs w:val="24"/>
          <w:lang w:eastAsia="cs-CZ"/>
        </w:rPr>
        <w:t xml:space="preserve">sklad a šatna pro zaměstnance </w:t>
      </w:r>
      <w:r w:rsidR="0071163C" w:rsidRPr="00BD022E">
        <w:rPr>
          <w:sz w:val="24"/>
          <w:szCs w:val="24"/>
          <w:lang w:eastAsia="cs-CZ"/>
        </w:rPr>
        <w:t xml:space="preserve">se sprchou a toaletou </w:t>
      </w:r>
      <w:r w:rsidR="00EB3C5F" w:rsidRPr="00BD022E">
        <w:rPr>
          <w:sz w:val="24"/>
          <w:szCs w:val="24"/>
          <w:lang w:eastAsia="cs-CZ"/>
        </w:rPr>
        <w:t>jsou umístěny v novodobé přístavbě se zvláštním vstupem z prostoru foyer a zvenku. Toalety pro veřejnost</w:t>
      </w:r>
      <w:r w:rsidR="0071163C" w:rsidRPr="00BD022E">
        <w:rPr>
          <w:sz w:val="24"/>
          <w:szCs w:val="24"/>
          <w:lang w:eastAsia="cs-CZ"/>
        </w:rPr>
        <w:t xml:space="preserve"> </w:t>
      </w:r>
      <w:r w:rsidR="00EB3C5F" w:rsidRPr="00BD022E">
        <w:rPr>
          <w:sz w:val="24"/>
          <w:szCs w:val="24"/>
          <w:lang w:eastAsia="cs-CZ"/>
        </w:rPr>
        <w:t>nejsou součástí kavárny a jsou přístupn</w:t>
      </w:r>
      <w:r w:rsidR="001A75EF" w:rsidRPr="00BD022E">
        <w:rPr>
          <w:sz w:val="24"/>
          <w:szCs w:val="24"/>
          <w:lang w:eastAsia="cs-CZ"/>
        </w:rPr>
        <w:t>é z prostoru foyer.</w:t>
      </w:r>
      <w:r w:rsidR="00EB3C5F" w:rsidRPr="00BD022E">
        <w:rPr>
          <w:sz w:val="24"/>
          <w:szCs w:val="24"/>
          <w:lang w:eastAsia="cs-CZ"/>
        </w:rPr>
        <w:t xml:space="preserve"> </w:t>
      </w:r>
      <w:r w:rsidR="0071163C" w:rsidRPr="00BD022E">
        <w:rPr>
          <w:sz w:val="24"/>
          <w:szCs w:val="24"/>
          <w:lang w:eastAsia="cs-CZ"/>
        </w:rPr>
        <w:t>Celý objekt Starého purkrabství je řešen jako bezbariérový.</w:t>
      </w:r>
      <w:r w:rsidR="00EB3C5F" w:rsidRPr="00BD022E">
        <w:rPr>
          <w:sz w:val="24"/>
          <w:szCs w:val="24"/>
          <w:lang w:eastAsia="cs-CZ"/>
        </w:rPr>
        <w:t xml:space="preserve"> </w:t>
      </w:r>
    </w:p>
    <w:p w14:paraId="78D806E4" w14:textId="128D4FD1" w:rsidR="00206082" w:rsidRDefault="0000116D" w:rsidP="00773331">
      <w:pPr>
        <w:suppressAutoHyphens w:val="0"/>
        <w:spacing w:before="100" w:beforeAutospacing="1" w:after="100" w:afterAutospacing="1"/>
        <w:rPr>
          <w:sz w:val="24"/>
          <w:szCs w:val="24"/>
          <w:lang w:eastAsia="cs-CZ"/>
        </w:rPr>
      </w:pPr>
      <w:r w:rsidRPr="00BD022E">
        <w:rPr>
          <w:sz w:val="24"/>
          <w:szCs w:val="24"/>
          <w:lang w:eastAsia="cs-CZ"/>
        </w:rPr>
        <w:t xml:space="preserve">Objekt je </w:t>
      </w:r>
      <w:r w:rsidR="00945E89" w:rsidRPr="00BD022E">
        <w:rPr>
          <w:sz w:val="24"/>
          <w:szCs w:val="24"/>
          <w:lang w:eastAsia="cs-CZ"/>
        </w:rPr>
        <w:t xml:space="preserve">napojen na plynovod a je vybaven </w:t>
      </w:r>
      <w:r w:rsidRPr="00BD022E">
        <w:rPr>
          <w:sz w:val="24"/>
          <w:szCs w:val="24"/>
          <w:lang w:eastAsia="cs-CZ"/>
        </w:rPr>
        <w:t>elektronickým zabezpečovacím zařízením</w:t>
      </w:r>
      <w:r w:rsidR="00945E89" w:rsidRPr="00BD022E">
        <w:rPr>
          <w:sz w:val="24"/>
          <w:szCs w:val="24"/>
          <w:lang w:eastAsia="cs-CZ"/>
        </w:rPr>
        <w:t xml:space="preserve"> a elektronickou požární signalizací</w:t>
      </w:r>
      <w:r w:rsidRPr="00BD022E">
        <w:rPr>
          <w:sz w:val="24"/>
          <w:szCs w:val="24"/>
          <w:lang w:eastAsia="cs-CZ"/>
        </w:rPr>
        <w:t>.</w:t>
      </w:r>
      <w:r w:rsidR="00945E89" w:rsidRPr="00BD022E">
        <w:rPr>
          <w:sz w:val="24"/>
          <w:szCs w:val="24"/>
          <w:lang w:eastAsia="cs-CZ"/>
        </w:rPr>
        <w:t xml:space="preserve"> Vytápě</w:t>
      </w:r>
      <w:r w:rsidR="00BD022E" w:rsidRPr="00BD022E">
        <w:rPr>
          <w:sz w:val="24"/>
          <w:szCs w:val="24"/>
          <w:lang w:eastAsia="cs-CZ"/>
        </w:rPr>
        <w:t>n</w:t>
      </w:r>
      <w:r w:rsidR="00945E89" w:rsidRPr="00BD022E">
        <w:rPr>
          <w:sz w:val="24"/>
          <w:szCs w:val="24"/>
          <w:lang w:eastAsia="cs-CZ"/>
        </w:rPr>
        <w:t xml:space="preserve">í prostoru kavárny a přípravny je podlahové, vytápění </w:t>
      </w:r>
      <w:r w:rsidR="00BD022E" w:rsidRPr="00BD022E">
        <w:rPr>
          <w:sz w:val="24"/>
          <w:szCs w:val="24"/>
          <w:lang w:eastAsia="cs-CZ"/>
        </w:rPr>
        <w:t xml:space="preserve">v zázemí kavárny je radiátorové. </w:t>
      </w:r>
      <w:r w:rsidR="00944A47" w:rsidRPr="00BD022E">
        <w:rPr>
          <w:sz w:val="24"/>
          <w:szCs w:val="24"/>
          <w:lang w:eastAsia="cs-CZ"/>
        </w:rPr>
        <w:t>Vnitřní</w:t>
      </w:r>
      <w:r w:rsidR="00405E56" w:rsidRPr="00BD022E">
        <w:rPr>
          <w:sz w:val="24"/>
          <w:szCs w:val="24"/>
          <w:lang w:eastAsia="cs-CZ"/>
        </w:rPr>
        <w:t xml:space="preserve"> vybavení</w:t>
      </w:r>
      <w:r w:rsidR="00022044" w:rsidRPr="00BD022E">
        <w:rPr>
          <w:sz w:val="24"/>
          <w:szCs w:val="24"/>
          <w:lang w:eastAsia="cs-CZ"/>
        </w:rPr>
        <w:t xml:space="preserve"> </w:t>
      </w:r>
      <w:r w:rsidR="00405E56" w:rsidRPr="00BD022E">
        <w:rPr>
          <w:sz w:val="24"/>
          <w:szCs w:val="24"/>
          <w:lang w:eastAsia="cs-CZ"/>
        </w:rPr>
        <w:t xml:space="preserve">je </w:t>
      </w:r>
      <w:r w:rsidR="00944A47" w:rsidRPr="00BD022E">
        <w:rPr>
          <w:sz w:val="24"/>
          <w:szCs w:val="24"/>
          <w:lang w:eastAsia="cs-CZ"/>
        </w:rPr>
        <w:t xml:space="preserve">částečně </w:t>
      </w:r>
      <w:r w:rsidR="00405E56" w:rsidRPr="00BD022E">
        <w:rPr>
          <w:sz w:val="24"/>
          <w:szCs w:val="24"/>
          <w:lang w:eastAsia="cs-CZ"/>
        </w:rPr>
        <w:t>ve vlastnictví stávajícího nájemce</w:t>
      </w:r>
      <w:r w:rsidR="00BD022E" w:rsidRPr="00BD022E">
        <w:rPr>
          <w:sz w:val="24"/>
          <w:szCs w:val="24"/>
          <w:lang w:eastAsia="cs-CZ"/>
        </w:rPr>
        <w:t>. Nad rámec nájmu vnitřních prostor je možný sezónní pronájem předzahrádky (cca 90 m</w:t>
      </w:r>
      <w:r w:rsidR="00BD022E" w:rsidRPr="00BD022E">
        <w:rPr>
          <w:sz w:val="24"/>
          <w:szCs w:val="24"/>
          <w:vertAlign w:val="superscript"/>
          <w:lang w:eastAsia="cs-CZ"/>
        </w:rPr>
        <w:t>2</w:t>
      </w:r>
      <w:r w:rsidR="00BD022E" w:rsidRPr="00BD022E">
        <w:rPr>
          <w:sz w:val="24"/>
          <w:szCs w:val="24"/>
          <w:lang w:eastAsia="cs-CZ"/>
        </w:rPr>
        <w:t>), která je součástí dlážděné plochy před objektem Starého purkrabství.</w:t>
      </w:r>
      <w:r w:rsidR="007C090C">
        <w:rPr>
          <w:sz w:val="24"/>
          <w:szCs w:val="24"/>
          <w:lang w:eastAsia="cs-CZ"/>
        </w:rPr>
        <w:t xml:space="preserve"> Zároveň je možný zvýhodněný krátkodobý pronájem víceúčelového sálu pro pořádání kulturně-společenských akcí, konaných vždy s předchozím souhlasem NKP Vyšehrad. V rámci dohody je možné využití prostoru společného foyer a výstavního prostoru, tzv. mlatové chodby.</w:t>
      </w:r>
    </w:p>
    <w:p w14:paraId="37D457D3" w14:textId="2DB0C451" w:rsidR="00206082" w:rsidRPr="00BD022E" w:rsidRDefault="0063475E" w:rsidP="00773331">
      <w:pPr>
        <w:suppressAutoHyphens w:val="0"/>
        <w:spacing w:before="100" w:beforeAutospacing="1" w:after="100" w:afterAutospacing="1"/>
        <w:rPr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413BC97" wp14:editId="1C100587">
            <wp:extent cx="6162675" cy="35350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1" r="1071"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DBE2" w14:textId="143DDE60" w:rsidR="00CC6AF3" w:rsidRPr="00BD022E" w:rsidRDefault="0063475E" w:rsidP="00BE3C3E">
      <w:pPr>
        <w:suppressAutoHyphens w:val="0"/>
        <w:spacing w:before="100" w:beforeAutospacing="1" w:after="100" w:afterAutospacing="1"/>
        <w:jc w:val="center"/>
        <w:rPr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8584953" wp14:editId="170ACBEC">
            <wp:extent cx="6413500" cy="9137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D370" w14:textId="77777777" w:rsidR="00BE3C3E" w:rsidRDefault="00BE3C3E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317A0719" w14:textId="2C03FB25" w:rsidR="00CC6AF3" w:rsidRDefault="0063475E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noProof/>
          <w:color w:val="000000"/>
          <w:sz w:val="24"/>
          <w:szCs w:val="24"/>
          <w:lang w:eastAsia="cs-CZ"/>
        </w:rPr>
        <w:drawing>
          <wp:inline distT="0" distB="0" distL="0" distR="0" wp14:anchorId="70031E69" wp14:editId="6BDD8353">
            <wp:extent cx="6111240" cy="3296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5" b="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47F9" w14:textId="3E5D7353" w:rsidR="00CC6AF3" w:rsidRDefault="00C43980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Pohled na Staré purkrabství z akropole (vpravo občerstvení s předzahrádkou)</w:t>
      </w:r>
    </w:p>
    <w:p w14:paraId="221E144A" w14:textId="77777777" w:rsidR="00C43980" w:rsidRDefault="00C43980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56A59161" w14:textId="5A8679F5" w:rsidR="00C43980" w:rsidRDefault="0063475E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noProof/>
          <w:color w:val="000000"/>
          <w:sz w:val="24"/>
          <w:szCs w:val="24"/>
          <w:lang w:eastAsia="cs-CZ"/>
        </w:rPr>
        <w:drawing>
          <wp:inline distT="0" distB="0" distL="0" distR="0" wp14:anchorId="77E31F62" wp14:editId="2A5002C1">
            <wp:extent cx="6111240" cy="40436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C98E" w14:textId="6EA96511" w:rsidR="00C43980" w:rsidRDefault="00C43980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Víceúčelový sál (100 m</w:t>
      </w:r>
      <w:r w:rsidRPr="00C43980">
        <w:rPr>
          <w:color w:val="000000"/>
          <w:sz w:val="24"/>
          <w:szCs w:val="24"/>
          <w:vertAlign w:val="superscript"/>
          <w:lang w:eastAsia="cs-CZ"/>
        </w:rPr>
        <w:t>2</w:t>
      </w:r>
      <w:r>
        <w:rPr>
          <w:color w:val="000000"/>
          <w:sz w:val="24"/>
          <w:szCs w:val="24"/>
          <w:lang w:eastAsia="cs-CZ"/>
        </w:rPr>
        <w:t>, kapacita cca 80 míst)</w:t>
      </w:r>
    </w:p>
    <w:sectPr w:rsidR="00C43980" w:rsidSect="00C1735F">
      <w:headerReference w:type="default" r:id="rId15"/>
      <w:footerReference w:type="default" r:id="rId16"/>
      <w:pgSz w:w="11906" w:h="16838"/>
      <w:pgMar w:top="1134" w:right="1134" w:bottom="1134" w:left="1134" w:header="708" w:footer="708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EF77B" w14:textId="77777777" w:rsidR="00E65226" w:rsidRDefault="00E65226" w:rsidP="00C42389">
      <w:r>
        <w:separator/>
      </w:r>
    </w:p>
  </w:endnote>
  <w:endnote w:type="continuationSeparator" w:id="0">
    <w:p w14:paraId="05E3B3D7" w14:textId="77777777" w:rsidR="00E65226" w:rsidRDefault="00E65226" w:rsidP="00C4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2441" w14:textId="77777777" w:rsidR="00D13349" w:rsidRPr="005F714B" w:rsidRDefault="00D13349" w:rsidP="00550DBD">
    <w:pPr>
      <w:pStyle w:val="Zpat"/>
      <w:jc w:val="center"/>
      <w:rPr>
        <w:sz w:val="20"/>
      </w:rPr>
    </w:pPr>
    <w:r w:rsidRPr="005F714B">
      <w:rPr>
        <w:sz w:val="20"/>
      </w:rPr>
      <w:t xml:space="preserve">Stránka </w:t>
    </w:r>
    <w:r w:rsidRPr="005F714B">
      <w:rPr>
        <w:b/>
        <w:bCs/>
        <w:sz w:val="20"/>
      </w:rPr>
      <w:fldChar w:fldCharType="begin"/>
    </w:r>
    <w:r w:rsidRPr="005F714B">
      <w:rPr>
        <w:b/>
        <w:bCs/>
        <w:sz w:val="20"/>
      </w:rPr>
      <w:instrText>PAGE  \* Arabic  \* MERGEFORMAT</w:instrText>
    </w:r>
    <w:r w:rsidRPr="005F714B">
      <w:rPr>
        <w:b/>
        <w:bCs/>
        <w:sz w:val="20"/>
      </w:rPr>
      <w:fldChar w:fldCharType="separate"/>
    </w:r>
    <w:r w:rsidR="000474FB" w:rsidRPr="005F714B">
      <w:rPr>
        <w:b/>
        <w:bCs/>
        <w:noProof/>
        <w:sz w:val="20"/>
      </w:rPr>
      <w:t>10</w:t>
    </w:r>
    <w:r w:rsidRPr="005F714B">
      <w:rPr>
        <w:b/>
        <w:bCs/>
        <w:sz w:val="20"/>
      </w:rPr>
      <w:fldChar w:fldCharType="end"/>
    </w:r>
    <w:r w:rsidRPr="005F714B">
      <w:rPr>
        <w:sz w:val="20"/>
      </w:rPr>
      <w:t xml:space="preserve"> z </w:t>
    </w:r>
    <w:r w:rsidRPr="005F714B">
      <w:rPr>
        <w:b/>
        <w:bCs/>
        <w:sz w:val="20"/>
      </w:rPr>
      <w:fldChar w:fldCharType="begin"/>
    </w:r>
    <w:r w:rsidRPr="005F714B">
      <w:rPr>
        <w:b/>
        <w:bCs/>
        <w:sz w:val="20"/>
      </w:rPr>
      <w:instrText>NUMPAGES  \* Arabic  \* MERGEFORMAT</w:instrText>
    </w:r>
    <w:r w:rsidRPr="005F714B">
      <w:rPr>
        <w:b/>
        <w:bCs/>
        <w:sz w:val="20"/>
      </w:rPr>
      <w:fldChar w:fldCharType="separate"/>
    </w:r>
    <w:r w:rsidR="000474FB" w:rsidRPr="005F714B">
      <w:rPr>
        <w:b/>
        <w:bCs/>
        <w:noProof/>
        <w:sz w:val="20"/>
      </w:rPr>
      <w:t>10</w:t>
    </w:r>
    <w:r w:rsidRPr="005F714B">
      <w:rPr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9DD85" w14:textId="77777777" w:rsidR="00E65226" w:rsidRDefault="00E65226" w:rsidP="00C42389">
      <w:r>
        <w:separator/>
      </w:r>
    </w:p>
  </w:footnote>
  <w:footnote w:type="continuationSeparator" w:id="0">
    <w:p w14:paraId="50BC4F1B" w14:textId="77777777" w:rsidR="00E65226" w:rsidRDefault="00E65226" w:rsidP="00C42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F002" w14:textId="77777777" w:rsidR="00DB7EE1" w:rsidRPr="005F714B" w:rsidRDefault="00DB7EE1" w:rsidP="00DB7EE1">
    <w:pPr>
      <w:rPr>
        <w:b/>
        <w:bCs/>
        <w:sz w:val="20"/>
      </w:rPr>
    </w:pPr>
    <w:r w:rsidRPr="005F714B">
      <w:rPr>
        <w:b/>
        <w:bCs/>
        <w:sz w:val="20"/>
      </w:rPr>
      <w:t>Národní kulturní památka Vyšehrad</w:t>
    </w:r>
  </w:p>
  <w:p w14:paraId="139C39CC" w14:textId="77777777" w:rsidR="00DB7EE1" w:rsidRPr="005F714B" w:rsidRDefault="00DB7EE1" w:rsidP="00DB7EE1">
    <w:pPr>
      <w:rPr>
        <w:sz w:val="20"/>
      </w:rPr>
    </w:pPr>
    <w:r>
      <w:rPr>
        <w:sz w:val="20"/>
      </w:rPr>
      <w:t>P</w:t>
    </w:r>
    <w:r w:rsidRPr="005F714B">
      <w:rPr>
        <w:sz w:val="20"/>
      </w:rPr>
      <w:t>říspěvková organizace hl. m. Prahy</w:t>
    </w:r>
  </w:p>
  <w:p w14:paraId="15754CEA" w14:textId="77777777" w:rsidR="000A2868" w:rsidRDefault="000A286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4F49FFC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3C29D7"/>
    <w:multiLevelType w:val="multilevel"/>
    <w:tmpl w:val="8BF6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690A2B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101CA"/>
    <w:multiLevelType w:val="multilevel"/>
    <w:tmpl w:val="A0C2E352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sz w:val="22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ascii="Arial" w:hAnsi="Arial" w:hint="default"/>
        <w:b/>
        <w:sz w:val="22"/>
      </w:rPr>
    </w:lvl>
    <w:lvl w:ilvl="2">
      <w:start w:val="1"/>
      <w:numFmt w:val="bullet"/>
      <w:lvlText w:val="-"/>
      <w:lvlJc w:val="left"/>
      <w:pPr>
        <w:ind w:left="567" w:firstLine="567"/>
      </w:pPr>
      <w:rPr>
        <w:rFonts w:ascii="Courier New" w:hAnsi="Courier New" w:hint="default"/>
      </w:rPr>
    </w:lvl>
    <w:lvl w:ilvl="3">
      <w:start w:val="1"/>
      <w:numFmt w:val="decimal"/>
      <w:lvlText w:val="%1.%2.%3.%4."/>
      <w:lvlJc w:val="left"/>
      <w:pPr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9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6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3" w:hanging="397"/>
      </w:pPr>
      <w:rPr>
        <w:rFonts w:hint="default"/>
      </w:rPr>
    </w:lvl>
  </w:abstractNum>
  <w:abstractNum w:abstractNumId="4" w15:restartNumberingAfterBreak="0">
    <w:nsid w:val="1BDF0339"/>
    <w:multiLevelType w:val="hybridMultilevel"/>
    <w:tmpl w:val="9D1A98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C4685"/>
    <w:multiLevelType w:val="hybridMultilevel"/>
    <w:tmpl w:val="578ACC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46559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1FD287B"/>
    <w:multiLevelType w:val="multilevel"/>
    <w:tmpl w:val="70F4B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2E3A6C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B56B7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807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C80317B"/>
    <w:multiLevelType w:val="hybridMultilevel"/>
    <w:tmpl w:val="FA4A76AE"/>
    <w:lvl w:ilvl="0" w:tplc="46C2F0FA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41F46FB2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3223DF7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43D137E"/>
    <w:multiLevelType w:val="hybridMultilevel"/>
    <w:tmpl w:val="D952BBAE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48B511FB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25BAC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F0501C8"/>
    <w:multiLevelType w:val="hybridMultilevel"/>
    <w:tmpl w:val="1C66F6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0E43A4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1D6647F"/>
    <w:multiLevelType w:val="hybridMultilevel"/>
    <w:tmpl w:val="B81A3D1E"/>
    <w:lvl w:ilvl="0" w:tplc="94AAD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24970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9"/>
  </w:num>
  <w:num w:numId="5">
    <w:abstractNumId w:val="3"/>
  </w:num>
  <w:num w:numId="6">
    <w:abstractNumId w:val="11"/>
  </w:num>
  <w:num w:numId="7">
    <w:abstractNumId w:val="20"/>
  </w:num>
  <w:num w:numId="8">
    <w:abstractNumId w:val="12"/>
  </w:num>
  <w:num w:numId="9">
    <w:abstractNumId w:val="16"/>
  </w:num>
  <w:num w:numId="10">
    <w:abstractNumId w:val="6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5"/>
  </w:num>
  <w:num w:numId="16">
    <w:abstractNumId w:val="2"/>
  </w:num>
  <w:num w:numId="17">
    <w:abstractNumId w:val="15"/>
  </w:num>
  <w:num w:numId="18">
    <w:abstractNumId w:val="8"/>
  </w:num>
  <w:num w:numId="19">
    <w:abstractNumId w:val="9"/>
  </w:num>
  <w:num w:numId="20">
    <w:abstractNumId w:val="17"/>
  </w:num>
  <w:num w:numId="21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B6B"/>
    <w:rsid w:val="0000116D"/>
    <w:rsid w:val="00005457"/>
    <w:rsid w:val="00012595"/>
    <w:rsid w:val="00013B99"/>
    <w:rsid w:val="00020851"/>
    <w:rsid w:val="00022044"/>
    <w:rsid w:val="000270D2"/>
    <w:rsid w:val="0002785D"/>
    <w:rsid w:val="000344E0"/>
    <w:rsid w:val="00036EB2"/>
    <w:rsid w:val="00037232"/>
    <w:rsid w:val="000440D2"/>
    <w:rsid w:val="000474FB"/>
    <w:rsid w:val="00066CB3"/>
    <w:rsid w:val="00067714"/>
    <w:rsid w:val="00073280"/>
    <w:rsid w:val="00074AC5"/>
    <w:rsid w:val="0008444A"/>
    <w:rsid w:val="00084539"/>
    <w:rsid w:val="00085233"/>
    <w:rsid w:val="00093EAE"/>
    <w:rsid w:val="000A0465"/>
    <w:rsid w:val="000A2868"/>
    <w:rsid w:val="000B250F"/>
    <w:rsid w:val="000B5744"/>
    <w:rsid w:val="000B7978"/>
    <w:rsid w:val="000C5F40"/>
    <w:rsid w:val="000E026B"/>
    <w:rsid w:val="000E22E0"/>
    <w:rsid w:val="000E2562"/>
    <w:rsid w:val="000E34CD"/>
    <w:rsid w:val="000E3C8A"/>
    <w:rsid w:val="000E4034"/>
    <w:rsid w:val="000E6330"/>
    <w:rsid w:val="001128BB"/>
    <w:rsid w:val="001163D1"/>
    <w:rsid w:val="00151A70"/>
    <w:rsid w:val="00152744"/>
    <w:rsid w:val="00165A06"/>
    <w:rsid w:val="001670A5"/>
    <w:rsid w:val="00176864"/>
    <w:rsid w:val="00180657"/>
    <w:rsid w:val="001817C9"/>
    <w:rsid w:val="0018642D"/>
    <w:rsid w:val="00187B16"/>
    <w:rsid w:val="001A2907"/>
    <w:rsid w:val="001A38F6"/>
    <w:rsid w:val="001A75EF"/>
    <w:rsid w:val="001C6045"/>
    <w:rsid w:val="001C6E42"/>
    <w:rsid w:val="001D4720"/>
    <w:rsid w:val="001D6A26"/>
    <w:rsid w:val="001E2EE7"/>
    <w:rsid w:val="001F4159"/>
    <w:rsid w:val="00201001"/>
    <w:rsid w:val="00206082"/>
    <w:rsid w:val="00222117"/>
    <w:rsid w:val="0023684E"/>
    <w:rsid w:val="00242804"/>
    <w:rsid w:val="002437CC"/>
    <w:rsid w:val="00252EB8"/>
    <w:rsid w:val="002628AE"/>
    <w:rsid w:val="00276D1E"/>
    <w:rsid w:val="00280A64"/>
    <w:rsid w:val="00280D0E"/>
    <w:rsid w:val="00283547"/>
    <w:rsid w:val="0029199A"/>
    <w:rsid w:val="002A3F57"/>
    <w:rsid w:val="002C74AD"/>
    <w:rsid w:val="002D3DF5"/>
    <w:rsid w:val="002D4E07"/>
    <w:rsid w:val="002D762F"/>
    <w:rsid w:val="002E16B7"/>
    <w:rsid w:val="002F4419"/>
    <w:rsid w:val="002F4FD4"/>
    <w:rsid w:val="00315D52"/>
    <w:rsid w:val="00316AA3"/>
    <w:rsid w:val="00321392"/>
    <w:rsid w:val="003232F6"/>
    <w:rsid w:val="00325BD6"/>
    <w:rsid w:val="00325F10"/>
    <w:rsid w:val="00327DD8"/>
    <w:rsid w:val="00331B22"/>
    <w:rsid w:val="0033276D"/>
    <w:rsid w:val="003331B2"/>
    <w:rsid w:val="00340963"/>
    <w:rsid w:val="00361BD2"/>
    <w:rsid w:val="0036496F"/>
    <w:rsid w:val="00364A94"/>
    <w:rsid w:val="00364D1E"/>
    <w:rsid w:val="0039289C"/>
    <w:rsid w:val="003B6A78"/>
    <w:rsid w:val="003D0377"/>
    <w:rsid w:val="003D1322"/>
    <w:rsid w:val="003D59A6"/>
    <w:rsid w:val="003D6CDE"/>
    <w:rsid w:val="003E6022"/>
    <w:rsid w:val="0040183D"/>
    <w:rsid w:val="00405E56"/>
    <w:rsid w:val="004348AE"/>
    <w:rsid w:val="00441494"/>
    <w:rsid w:val="004462D9"/>
    <w:rsid w:val="00446ADC"/>
    <w:rsid w:val="00455940"/>
    <w:rsid w:val="00460A54"/>
    <w:rsid w:val="00461E15"/>
    <w:rsid w:val="00472599"/>
    <w:rsid w:val="00477D7D"/>
    <w:rsid w:val="004E543D"/>
    <w:rsid w:val="004F461F"/>
    <w:rsid w:val="004F5CA3"/>
    <w:rsid w:val="00500B6B"/>
    <w:rsid w:val="005158A1"/>
    <w:rsid w:val="00522762"/>
    <w:rsid w:val="0053796B"/>
    <w:rsid w:val="00550DBD"/>
    <w:rsid w:val="0055669A"/>
    <w:rsid w:val="005627B2"/>
    <w:rsid w:val="00564D61"/>
    <w:rsid w:val="00565A06"/>
    <w:rsid w:val="0057643C"/>
    <w:rsid w:val="00576D5D"/>
    <w:rsid w:val="0057750D"/>
    <w:rsid w:val="00584C5F"/>
    <w:rsid w:val="0059547E"/>
    <w:rsid w:val="005A6628"/>
    <w:rsid w:val="005A7F82"/>
    <w:rsid w:val="005B4C37"/>
    <w:rsid w:val="005C07F6"/>
    <w:rsid w:val="005D0B25"/>
    <w:rsid w:val="005D1964"/>
    <w:rsid w:val="005E08E3"/>
    <w:rsid w:val="005F714B"/>
    <w:rsid w:val="0060093D"/>
    <w:rsid w:val="00605BB4"/>
    <w:rsid w:val="00613AAD"/>
    <w:rsid w:val="00626F08"/>
    <w:rsid w:val="0063475E"/>
    <w:rsid w:val="006352BD"/>
    <w:rsid w:val="00642047"/>
    <w:rsid w:val="0064496C"/>
    <w:rsid w:val="00674F3E"/>
    <w:rsid w:val="00677A3B"/>
    <w:rsid w:val="00687F9C"/>
    <w:rsid w:val="00690E16"/>
    <w:rsid w:val="00696BC3"/>
    <w:rsid w:val="006A0DA3"/>
    <w:rsid w:val="006B0C7F"/>
    <w:rsid w:val="006B10DB"/>
    <w:rsid w:val="006B237D"/>
    <w:rsid w:val="006C53F8"/>
    <w:rsid w:val="006D6D42"/>
    <w:rsid w:val="006F3BD8"/>
    <w:rsid w:val="0071163C"/>
    <w:rsid w:val="0071483B"/>
    <w:rsid w:val="00717832"/>
    <w:rsid w:val="0071797C"/>
    <w:rsid w:val="00732F0D"/>
    <w:rsid w:val="00740E39"/>
    <w:rsid w:val="00745385"/>
    <w:rsid w:val="00746317"/>
    <w:rsid w:val="00747020"/>
    <w:rsid w:val="00750A8E"/>
    <w:rsid w:val="007515ED"/>
    <w:rsid w:val="007532F5"/>
    <w:rsid w:val="00756FF2"/>
    <w:rsid w:val="00762A68"/>
    <w:rsid w:val="00764E17"/>
    <w:rsid w:val="00773331"/>
    <w:rsid w:val="00774FE6"/>
    <w:rsid w:val="007772CC"/>
    <w:rsid w:val="00791975"/>
    <w:rsid w:val="007A1B30"/>
    <w:rsid w:val="007A37AF"/>
    <w:rsid w:val="007A6154"/>
    <w:rsid w:val="007C090C"/>
    <w:rsid w:val="007D0B92"/>
    <w:rsid w:val="007E1296"/>
    <w:rsid w:val="007E57AE"/>
    <w:rsid w:val="007F1E50"/>
    <w:rsid w:val="007F3435"/>
    <w:rsid w:val="00804844"/>
    <w:rsid w:val="008232DB"/>
    <w:rsid w:val="00832E1D"/>
    <w:rsid w:val="008369B7"/>
    <w:rsid w:val="00837B62"/>
    <w:rsid w:val="00843E33"/>
    <w:rsid w:val="00847AD7"/>
    <w:rsid w:val="008553CC"/>
    <w:rsid w:val="00860D01"/>
    <w:rsid w:val="008616C1"/>
    <w:rsid w:val="008662F2"/>
    <w:rsid w:val="008704B9"/>
    <w:rsid w:val="0087397E"/>
    <w:rsid w:val="00882B2A"/>
    <w:rsid w:val="00887E2F"/>
    <w:rsid w:val="00894824"/>
    <w:rsid w:val="008A1A26"/>
    <w:rsid w:val="008A2AB9"/>
    <w:rsid w:val="008A7F3A"/>
    <w:rsid w:val="008B6C0B"/>
    <w:rsid w:val="008C22DB"/>
    <w:rsid w:val="008C338E"/>
    <w:rsid w:val="008C7BDF"/>
    <w:rsid w:val="008D69D3"/>
    <w:rsid w:val="008E1132"/>
    <w:rsid w:val="008E6EEF"/>
    <w:rsid w:val="008E7F96"/>
    <w:rsid w:val="008F44F9"/>
    <w:rsid w:val="00927B2C"/>
    <w:rsid w:val="009363B7"/>
    <w:rsid w:val="00944A47"/>
    <w:rsid w:val="00945E89"/>
    <w:rsid w:val="0095095B"/>
    <w:rsid w:val="009523C9"/>
    <w:rsid w:val="00957885"/>
    <w:rsid w:val="009663F6"/>
    <w:rsid w:val="009908BD"/>
    <w:rsid w:val="009A016B"/>
    <w:rsid w:val="009B3E03"/>
    <w:rsid w:val="009C25B3"/>
    <w:rsid w:val="009C3913"/>
    <w:rsid w:val="009D48D4"/>
    <w:rsid w:val="009F4550"/>
    <w:rsid w:val="009F5DA2"/>
    <w:rsid w:val="009F67AA"/>
    <w:rsid w:val="00A0693B"/>
    <w:rsid w:val="00A078FB"/>
    <w:rsid w:val="00A11D0F"/>
    <w:rsid w:val="00A13080"/>
    <w:rsid w:val="00A17775"/>
    <w:rsid w:val="00A43C31"/>
    <w:rsid w:val="00A534C3"/>
    <w:rsid w:val="00A66B1E"/>
    <w:rsid w:val="00A80C63"/>
    <w:rsid w:val="00A83B95"/>
    <w:rsid w:val="00A86D06"/>
    <w:rsid w:val="00A96056"/>
    <w:rsid w:val="00AA41A4"/>
    <w:rsid w:val="00AC3D5C"/>
    <w:rsid w:val="00AD0F5A"/>
    <w:rsid w:val="00AE710F"/>
    <w:rsid w:val="00AF656D"/>
    <w:rsid w:val="00AF7907"/>
    <w:rsid w:val="00B02104"/>
    <w:rsid w:val="00B35BAB"/>
    <w:rsid w:val="00B45CE8"/>
    <w:rsid w:val="00B466D6"/>
    <w:rsid w:val="00B60B09"/>
    <w:rsid w:val="00B93DB8"/>
    <w:rsid w:val="00B97CCC"/>
    <w:rsid w:val="00BA5C4D"/>
    <w:rsid w:val="00BA72B9"/>
    <w:rsid w:val="00BB0F1A"/>
    <w:rsid w:val="00BC222F"/>
    <w:rsid w:val="00BC4E6D"/>
    <w:rsid w:val="00BD022E"/>
    <w:rsid w:val="00BD39C2"/>
    <w:rsid w:val="00BD562B"/>
    <w:rsid w:val="00BE3C3E"/>
    <w:rsid w:val="00BE5B57"/>
    <w:rsid w:val="00BF250F"/>
    <w:rsid w:val="00C014EF"/>
    <w:rsid w:val="00C141C3"/>
    <w:rsid w:val="00C155D3"/>
    <w:rsid w:val="00C1735F"/>
    <w:rsid w:val="00C21A9C"/>
    <w:rsid w:val="00C323B2"/>
    <w:rsid w:val="00C36B83"/>
    <w:rsid w:val="00C36EFD"/>
    <w:rsid w:val="00C42389"/>
    <w:rsid w:val="00C43980"/>
    <w:rsid w:val="00C4505A"/>
    <w:rsid w:val="00C5691C"/>
    <w:rsid w:val="00C823E5"/>
    <w:rsid w:val="00CA2A40"/>
    <w:rsid w:val="00CA5E3F"/>
    <w:rsid w:val="00CC5CCC"/>
    <w:rsid w:val="00CC6AF3"/>
    <w:rsid w:val="00CD7BDB"/>
    <w:rsid w:val="00CF272E"/>
    <w:rsid w:val="00D02463"/>
    <w:rsid w:val="00D06926"/>
    <w:rsid w:val="00D13349"/>
    <w:rsid w:val="00D162AC"/>
    <w:rsid w:val="00D171FE"/>
    <w:rsid w:val="00D201A8"/>
    <w:rsid w:val="00D25045"/>
    <w:rsid w:val="00D431F2"/>
    <w:rsid w:val="00D45C7B"/>
    <w:rsid w:val="00D72529"/>
    <w:rsid w:val="00D94910"/>
    <w:rsid w:val="00D97B40"/>
    <w:rsid w:val="00DA7415"/>
    <w:rsid w:val="00DB7EE1"/>
    <w:rsid w:val="00DC0DF6"/>
    <w:rsid w:val="00DC159D"/>
    <w:rsid w:val="00DC18A7"/>
    <w:rsid w:val="00DC7765"/>
    <w:rsid w:val="00DD3416"/>
    <w:rsid w:val="00DE02FF"/>
    <w:rsid w:val="00DF46D6"/>
    <w:rsid w:val="00DF48B2"/>
    <w:rsid w:val="00DF7129"/>
    <w:rsid w:val="00E01476"/>
    <w:rsid w:val="00E14832"/>
    <w:rsid w:val="00E166DE"/>
    <w:rsid w:val="00E17FA4"/>
    <w:rsid w:val="00E31C0E"/>
    <w:rsid w:val="00E53461"/>
    <w:rsid w:val="00E54A0C"/>
    <w:rsid w:val="00E5556B"/>
    <w:rsid w:val="00E65226"/>
    <w:rsid w:val="00E7150D"/>
    <w:rsid w:val="00E93EAC"/>
    <w:rsid w:val="00EB2A55"/>
    <w:rsid w:val="00EB3C5F"/>
    <w:rsid w:val="00EB4C68"/>
    <w:rsid w:val="00ED5C02"/>
    <w:rsid w:val="00EF7236"/>
    <w:rsid w:val="00F00092"/>
    <w:rsid w:val="00F07157"/>
    <w:rsid w:val="00F1149C"/>
    <w:rsid w:val="00F16A10"/>
    <w:rsid w:val="00F17957"/>
    <w:rsid w:val="00F24780"/>
    <w:rsid w:val="00F31309"/>
    <w:rsid w:val="00F4074B"/>
    <w:rsid w:val="00F834B1"/>
    <w:rsid w:val="00F85C87"/>
    <w:rsid w:val="00F9224E"/>
    <w:rsid w:val="00F95107"/>
    <w:rsid w:val="00FB434C"/>
    <w:rsid w:val="00FB461A"/>
    <w:rsid w:val="00FC7A41"/>
    <w:rsid w:val="00FD0F2F"/>
    <w:rsid w:val="00FD2FAD"/>
    <w:rsid w:val="00FD4D8D"/>
    <w:rsid w:val="00FE2348"/>
    <w:rsid w:val="00FE26CB"/>
    <w:rsid w:val="00FE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oNotEmbedSmartTags/>
  <w:decimalSymbol w:val=","/>
  <w:listSeparator w:val=";"/>
  <w14:docId w14:val="10DE1E29"/>
  <w15:chartTrackingRefBased/>
  <w15:docId w15:val="{6F17F1DF-084C-4DD7-9E6D-2E1D7567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37AF"/>
    <w:pPr>
      <w:suppressAutoHyphens/>
    </w:pPr>
    <w:rPr>
      <w:sz w:val="22"/>
      <w:lang w:eastAsia="ar-SA"/>
    </w:rPr>
  </w:style>
  <w:style w:type="paragraph" w:styleId="Nadpis1">
    <w:name w:val="heading 1"/>
    <w:basedOn w:val="Normln"/>
    <w:next w:val="Normln"/>
    <w:qFormat/>
    <w:rsid w:val="006B10DB"/>
    <w:pPr>
      <w:keepNext/>
      <w:numPr>
        <w:numId w:val="1"/>
      </w:numPr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6B10DB"/>
    <w:pPr>
      <w:keepNext/>
      <w:numPr>
        <w:ilvl w:val="1"/>
        <w:numId w:val="1"/>
      </w:numPr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b/>
      <w:sz w:val="24"/>
      <w:u w:val="single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jc w:val="center"/>
      <w:outlineLvl w:val="3"/>
    </w:pPr>
    <w:rPr>
      <w:b/>
      <w:sz w:val="32"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jc w:val="center"/>
      <w:outlineLvl w:val="5"/>
    </w:pPr>
    <w:rPr>
      <w:b/>
      <w:caps/>
      <w:sz w:val="24"/>
    </w:rPr>
  </w:style>
  <w:style w:type="paragraph" w:styleId="Nadpis7">
    <w:name w:val="heading 7"/>
    <w:basedOn w:val="Normln"/>
    <w:next w:val="Normln"/>
    <w:qFormat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10D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10D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styleId="Normlnweb">
    <w:name w:val="Normal (Web)"/>
    <w:basedOn w:val="Normln"/>
    <w:uiPriority w:val="99"/>
    <w:pPr>
      <w:spacing w:before="100" w:after="100"/>
    </w:pPr>
    <w:rPr>
      <w:rFonts w:ascii="Arial Unicode MS" w:eastAsia="Arial Unicode MS" w:hAnsi="Arial Unicode MS" w:cs="Arial Unicode MS"/>
      <w:sz w:val="24"/>
    </w:rPr>
  </w:style>
  <w:style w:type="paragraph" w:customStyle="1" w:styleId="Zkladntext21">
    <w:name w:val="Základní text 21"/>
    <w:basedOn w:val="Normln"/>
    <w:rPr>
      <w:b/>
      <w:bCs/>
      <w:sz w:val="24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F31309"/>
    <w:rPr>
      <w:b/>
      <w:bCs/>
    </w:rPr>
  </w:style>
  <w:style w:type="character" w:styleId="Nevyeenzmnka">
    <w:name w:val="Unresolved Mention"/>
    <w:uiPriority w:val="99"/>
    <w:semiHidden/>
    <w:unhideWhenUsed/>
    <w:rsid w:val="00C423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423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42389"/>
    <w:pPr>
      <w:suppressAutoHyphens w:val="0"/>
      <w:ind w:left="720"/>
      <w:contextualSpacing/>
    </w:pPr>
    <w:rPr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C423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alibri" w:hAnsi="Courier New" w:cs="Courier New"/>
      <w:color w:val="000000"/>
      <w:lang w:eastAsia="en-US"/>
    </w:rPr>
  </w:style>
  <w:style w:type="character" w:customStyle="1" w:styleId="FormtovanvHTMLChar">
    <w:name w:val="Formátovaný v HTML Char"/>
    <w:link w:val="FormtovanvHTML"/>
    <w:uiPriority w:val="99"/>
    <w:rsid w:val="00C42389"/>
    <w:rPr>
      <w:rFonts w:ascii="Courier New" w:eastAsia="Calibri" w:hAnsi="Courier New" w:cs="Courier New"/>
      <w:color w:val="000000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4238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42389"/>
    <w:rPr>
      <w:lang w:eastAsia="ar-SA"/>
    </w:rPr>
  </w:style>
  <w:style w:type="paragraph" w:styleId="Zpat">
    <w:name w:val="footer"/>
    <w:basedOn w:val="Normln"/>
    <w:link w:val="ZpatChar"/>
    <w:uiPriority w:val="99"/>
    <w:unhideWhenUsed/>
    <w:rsid w:val="00C4238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42389"/>
    <w:rPr>
      <w:lang w:eastAsia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1735F"/>
    <w:pPr>
      <w:suppressAutoHyphens w:val="0"/>
    </w:pPr>
    <w:rPr>
      <w:rFonts w:ascii="Arial" w:eastAsia="Arial" w:hAnsi="Arial" w:cs="Arial"/>
      <w:lang w:eastAsia="cs-CZ"/>
    </w:rPr>
  </w:style>
  <w:style w:type="character" w:customStyle="1" w:styleId="TextpoznpodarouChar">
    <w:name w:val="Text pozn. pod čarou Char"/>
    <w:link w:val="Textpoznpodarou"/>
    <w:uiPriority w:val="99"/>
    <w:semiHidden/>
    <w:rsid w:val="00C1735F"/>
    <w:rPr>
      <w:rFonts w:ascii="Arial" w:eastAsia="Arial" w:hAnsi="Arial" w:cs="Arial"/>
    </w:rPr>
  </w:style>
  <w:style w:type="character" w:styleId="Znakapoznpodarou">
    <w:name w:val="footnote reference"/>
    <w:uiPriority w:val="99"/>
    <w:semiHidden/>
    <w:unhideWhenUsed/>
    <w:rsid w:val="00C1735F"/>
    <w:rPr>
      <w:vertAlign w:val="superscript"/>
    </w:rPr>
  </w:style>
  <w:style w:type="paragraph" w:styleId="Bezmezer">
    <w:name w:val="No Spacing"/>
    <w:uiPriority w:val="1"/>
    <w:qFormat/>
    <w:rsid w:val="00C1735F"/>
    <w:pPr>
      <w:suppressAutoHyphens/>
    </w:pPr>
    <w:rPr>
      <w:lang w:eastAsia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6B10DB"/>
    <w:pPr>
      <w:keepLines/>
      <w:numPr>
        <w:numId w:val="0"/>
      </w:numPr>
      <w:suppressAutoHyphens w:val="0"/>
      <w:spacing w:line="259" w:lineRule="auto"/>
      <w:outlineLvl w:val="9"/>
    </w:pPr>
    <w:rPr>
      <w:rFonts w:ascii="Calibri Light" w:hAnsi="Calibri Light"/>
      <w:b w:val="0"/>
      <w:color w:val="2F5496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B10DB"/>
    <w:pPr>
      <w:tabs>
        <w:tab w:val="left" w:pos="440"/>
        <w:tab w:val="right" w:leader="dot" w:pos="9628"/>
      </w:tabs>
      <w:spacing w:line="276" w:lineRule="auto"/>
    </w:pPr>
    <w:rPr>
      <w:sz w:val="20"/>
    </w:rPr>
  </w:style>
  <w:style w:type="character" w:customStyle="1" w:styleId="Nadpis8Char">
    <w:name w:val="Nadpis 8 Char"/>
    <w:link w:val="Nadpis8"/>
    <w:uiPriority w:val="9"/>
    <w:semiHidden/>
    <w:rsid w:val="006B10DB"/>
    <w:rPr>
      <w:rFonts w:ascii="Calibri" w:hAnsi="Calibri"/>
      <w:i/>
      <w:iCs/>
      <w:sz w:val="24"/>
      <w:szCs w:val="24"/>
      <w:lang w:eastAsia="ar-SA"/>
    </w:rPr>
  </w:style>
  <w:style w:type="character" w:customStyle="1" w:styleId="Nadpis9Char">
    <w:name w:val="Nadpis 9 Char"/>
    <w:link w:val="Nadpis9"/>
    <w:uiPriority w:val="9"/>
    <w:semiHidden/>
    <w:rsid w:val="006B10DB"/>
    <w:rPr>
      <w:rFonts w:ascii="Calibri Light" w:hAnsi="Calibri Light"/>
      <w:sz w:val="22"/>
      <w:szCs w:val="22"/>
      <w:lang w:eastAsia="ar-SA"/>
    </w:rPr>
  </w:style>
  <w:style w:type="paragraph" w:styleId="Obsah2">
    <w:name w:val="toc 2"/>
    <w:basedOn w:val="Normln"/>
    <w:next w:val="Normln"/>
    <w:autoRedefine/>
    <w:uiPriority w:val="39"/>
    <w:unhideWhenUsed/>
    <w:rsid w:val="007F1E50"/>
    <w:pPr>
      <w:tabs>
        <w:tab w:val="left" w:pos="880"/>
        <w:tab w:val="right" w:leader="dot" w:pos="9628"/>
      </w:tabs>
      <w:spacing w:line="276" w:lineRule="auto"/>
      <w:ind w:left="142"/>
    </w:pPr>
  </w:style>
  <w:style w:type="character" w:styleId="Odkaznakoment">
    <w:name w:val="annotation reference"/>
    <w:uiPriority w:val="99"/>
    <w:semiHidden/>
    <w:unhideWhenUsed/>
    <w:rsid w:val="000E63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E6330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rsid w:val="000E6330"/>
    <w:rPr>
      <w:rFonts w:ascii="Arial" w:hAnsi="Arial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E63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E6330"/>
    <w:rPr>
      <w:rFonts w:ascii="Arial" w:hAnsi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A4D120944DE94EB3D4217C04CBF5DD" ma:contentTypeVersion="13" ma:contentTypeDescription="Vytvoří nový dokument" ma:contentTypeScope="" ma:versionID="5381732130e80382a32b052ce62237e3">
  <xsd:schema xmlns:xsd="http://www.w3.org/2001/XMLSchema" xmlns:xs="http://www.w3.org/2001/XMLSchema" xmlns:p="http://schemas.microsoft.com/office/2006/metadata/properties" xmlns:ns2="467ad7b2-4e01-4b09-899f-5ec470a2304f" xmlns:ns3="d53d01b9-b4e0-4381-85e8-2f668adc0ee9" targetNamespace="http://schemas.microsoft.com/office/2006/metadata/properties" ma:root="true" ma:fieldsID="b3d234f5168e74455cd4d3a9c2cf4774" ns2:_="" ns3:_="">
    <xsd:import namespace="467ad7b2-4e01-4b09-899f-5ec470a2304f"/>
    <xsd:import namespace="d53d01b9-b4e0-4381-85e8-2f668adc0e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ad7b2-4e01-4b09-899f-5ec470a2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d01b9-b4e0-4381-85e8-2f668adc0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7CC741-7D66-426E-A0AF-3FC98538B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9DDA3F-D292-4EBC-974D-71BA850613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44ED2-0D03-4686-B6C2-1FF7CB2B0B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2BF6F2-7C7E-4257-894B-E2F4FCA75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ad7b2-4e01-4b09-899f-5ec470a2304f"/>
    <ds:schemaRef ds:uri="d53d01b9-b4e0-4381-85e8-2f668adc0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329</Words>
  <Characters>1945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NÁRODNÍ  KULTURNÍ  PAMÁTKA</vt:lpstr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NÁRODNÍ  KULTURNÍ  PAMÁTKA</dc:title>
  <dc:subject/>
  <dc:creator>xxx</dc:creator>
  <cp:keywords/>
  <cp:lastModifiedBy>Martynková Helena</cp:lastModifiedBy>
  <cp:revision>2</cp:revision>
  <cp:lastPrinted>2020-03-03T15:42:00Z</cp:lastPrinted>
  <dcterms:created xsi:type="dcterms:W3CDTF">2022-01-03T15:08:00Z</dcterms:created>
  <dcterms:modified xsi:type="dcterms:W3CDTF">2022-01-03T15:08:00Z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0x01010040A4D120944DE94EB3D4217C04CBF5DD</vt:lpwstr>
  </property>
</Properties>
</file>